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rPr>
          <w:sz w:val="22"/>
          <w:szCs w:val="22"/>
          <w:shd w:val="clear"/>
          <w:rFonts w:ascii="Calibri" w:eastAsia="맑은 고딕" w:hAnsi="맑은 고딕" w:cs="맑은 고딕" w:asciiTheme="minorHAnsi" w:eastAsiaTheme="minorEastAsia" w:hAnsiTheme="minorHAnsi" w:cstheme="minorBidi"/>
          <w:lang w:bidi="ar-SA" w:eastAsia="it-IT" w:val="it-IT"/>
        </w:rPr>
      </w:pPr>
      <w:r>
        <w:rPr>
          <w:shd w:val="clear"/>
        </w:rPr>
        <w:t xml:space="preserve">Rotta su Pisa</w:t>
      </w:r>
      <w:r>
        <w:rPr>
          <w:sz w:val="22"/>
          <w:szCs w:val="22"/>
          <w:shd w:val="clear"/>
          <w:rFonts w:ascii="Calibri" w:eastAsia="맑은 고딕" w:hAnsi="맑은 고딕" w:cs="맑은 고딕" w:asciiTheme="minorHAnsi" w:eastAsiaTheme="minorEastAsia" w:hAnsiTheme="minorHAnsi" w:cstheme="minorBidi"/>
          <w:lang w:bidi="ar-SA" w:eastAsia="it-IT" w:val="it-IT"/>
        </w:rPr>
        <w:t xml:space="preserve"> 2022</w:t>
      </w:r>
    </w:p>
    <w:p>
      <w:pPr>
        <w:rPr>
          <w:sz w:val="22"/>
          <w:szCs w:val="22"/>
          <w:shd w:val="clear"/>
          <w:rFonts w:ascii="Calibri" w:eastAsia="맑은 고딕" w:hAnsi="맑은 고딕" w:cs="맑은 고딕" w:asciiTheme="minorHAnsi" w:eastAsiaTheme="minorEastAsia" w:hAnsiTheme="minorHAnsi" w:cstheme="minorBidi"/>
          <w:lang w:bidi="ar-SA" w:eastAsia="it-IT" w:val="it-IT"/>
        </w:rPr>
      </w:pP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  <w:r>
        <w:rPr>
          <w:shd w:val="clear"/>
        </w:rPr>
        <w:t xml:space="preserve">Comunicato </w:t>
      </w:r>
      <w:r>
        <w:rPr>
          <w:sz w:val="22"/>
          <w:szCs w:val="22"/>
          <w:shd w:val="clear"/>
          <w:rFonts w:ascii="Calibri" w:eastAsia="맑은 고딕" w:hAnsi="맑은 고딕" w:cs="맑은 고딕" w:asciiTheme="minorHAnsi" w:eastAsiaTheme="minorEastAsia" w:hAnsiTheme="minorHAnsi" w:cstheme="minorBidi"/>
          <w:lang w:bidi="ar-SA" w:eastAsia="it-IT" w:val="it-IT"/>
        </w:rPr>
        <w:t xml:space="preserve">n. 1 </w:t>
      </w: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Il CdR/P è così composto:</w:t>
      </w: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Presidente Fabio Barrasso</w:t>
      </w: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Primo </w:t>
      </w: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Componente Marcella Ercoli</w:t>
      </w: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Componente Bartolomeo Carattino</w:t>
      </w: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A modifica </w:t>
      </w: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delle IdR</w:t>
      </w: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 punto 3</w:t>
      </w: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 il briefing sarà in presenza presso il CN Varazze;</w:t>
      </w: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A norma </w:t>
      </w: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della </w:t>
      </w: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>RRS</w:t>
      </w: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 90.2 (c) modifiche verbali potranno essere fatte in acqua a seguito della esposizione del </w:t>
      </w: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terzo ripetitore accompagnato da ripetuti suoni;</w:t>
      </w: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A parziale modifica </w:t>
      </w: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delle IdR punto 7 la boa di disimpegno sarà da lasciare a dritta solo se prima o insieme </w:t>
      </w: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al segnale di avviso sarà esposta la lettera “Delta” del C. I. S. accompagnata da un suono. </w:t>
      </w: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Il CdR</w:t>
      </w:r>
    </w:p>
    <w:p>
      <w:pP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</w:pP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Varazze 27 Maggio </w:t>
      </w: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2022 14:00</w:t>
      </w:r>
    </w:p>
    <w:p>
      <w:pPr>
        <w:rPr>
          <w:shd w:val="clear"/>
        </w:rPr>
      </w:pPr>
      <w:r>
        <w:rPr>
          <w:sz w:val="22"/>
          <w:szCs w:val="22"/>
          <w:shd w:val="clear"/>
          <w:rFonts w:ascii="Calibri" w:eastAsia="Calibri" w:hAnsi="Calibri" w:cs="Calibri" w:asciiTheme="minorHAnsi" w:eastAsiaTheme="minorEastAsia" w:hAnsiTheme="minorHAnsi" w:cstheme="minorBidi"/>
          <w:lang w:bidi="ar-SA" w:eastAsia="it-IT" w:val="it-IT"/>
        </w:rPr>
        <w:t xml:space="preserve">Fabio Barrasso</w:t>
      </w:r>
    </w:p>
    <w:sectPr>
      <w:pgSz w:w="11906" w:h="16838"/>
      <w:pgMar w:top="1417" w:left="1134" w:bottom="1134" w:right="1134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shd w:val="clear"/>
        <w:rFonts w:asciiTheme="minorHAnsi" w:eastAsiaTheme="minorEastAsia" w:hAnsiTheme="minorHAnsi" w:cstheme="minorBidi"/>
        <w:lang w:bidi="ar-SA" w:eastAsia="it-IT" w:val="it-IT"/>
      </w:rPr>
    </w:rPrDefault>
  </w:docDefaults>
  <w:style w:default="1" w:styleId="PO1" w:type="paragraph">
    <w:name w:val="Normal"/>
    <w:qFormat/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11</Characters>
  <CharactersWithSpaces>0</CharactersWithSpaces>
  <DocSecurity>0</DocSecurity>
  <HyperlinksChanged>false</HyperlinksChanged>
  <Lines>1</Lines>
  <LinksUpToDate>false</LinksUpToDate>
  <Pages>1</Pages>
  <Paragraphs>1</Paragraphs>
  <Words>1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Andrea Olivi</dc:creator>
  <cp:lastModifiedBy/>
  <dcterms:modified xsi:type="dcterms:W3CDTF">2022-05-27T13:27:00Z</dcterms:modified>
</cp:coreProperties>
</file>