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45" w:rsidRDefault="00923074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color w:val="17365D"/>
          <w:sz w:val="52"/>
        </w:rPr>
        <w:t xml:space="preserve">Penalità Discrezionali </w:t>
      </w:r>
      <w:r w:rsidR="001E602D">
        <w:rPr>
          <w:rFonts w:ascii="Cambria" w:eastAsia="Cambria" w:hAnsi="Cambria" w:cs="Cambria"/>
          <w:color w:val="17365D"/>
          <w:sz w:val="52"/>
        </w:rPr>
        <w:t>2019</w:t>
      </w:r>
      <w:r>
        <w:rPr>
          <w:rFonts w:ascii="Cambria" w:eastAsia="Cambria" w:hAnsi="Cambria" w:cs="Cambria"/>
          <w:color w:val="17365D"/>
          <w:sz w:val="52"/>
        </w:rPr>
        <w:t xml:space="preserve">per la classe </w:t>
      </w:r>
      <w:proofErr w:type="spellStart"/>
      <w:r>
        <w:rPr>
          <w:rFonts w:ascii="Cambria" w:eastAsia="Cambria" w:hAnsi="Cambria" w:cs="Cambria"/>
          <w:color w:val="17365D"/>
          <w:sz w:val="52"/>
        </w:rPr>
        <w:t>Optimist</w:t>
      </w:r>
      <w:proofErr w:type="spellEnd"/>
      <w:r>
        <w:rPr>
          <w:rFonts w:ascii="Cambria" w:eastAsia="Cambria" w:hAnsi="Cambria" w:cs="Cambria"/>
          <w:color w:val="17365D"/>
          <w:sz w:val="52"/>
        </w:rPr>
        <w:t xml:space="preserve"> </w:t>
      </w:r>
    </w:p>
    <w:p w:rsidR="00703845" w:rsidRDefault="00923074">
      <w:pPr>
        <w:spacing w:after="344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84010" cy="12192"/>
                <wp:effectExtent l="0" t="0" r="0" b="0"/>
                <wp:docPr id="8918" name="Group 8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2192"/>
                          <a:chOff x="0" y="0"/>
                          <a:chExt cx="6684010" cy="12192"/>
                        </a:xfrm>
                      </wpg:grpSpPr>
                      <wps:wsp>
                        <wps:cNvPr id="12647" name="Shape 12647"/>
                        <wps:cNvSpPr/>
                        <wps:spPr>
                          <a:xfrm>
                            <a:off x="0" y="0"/>
                            <a:ext cx="66840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2192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18" style="width:526.3pt;height:0.960022pt;mso-position-horizontal-relative:char;mso-position-vertical-relative:line" coordsize="66840,121">
                <v:shape id="Shape 12648" style="position:absolute;width:66840;height:121;left:0;top:0;" coordsize="6684010,12192" path="m0,0l6684010,0l6684010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703845" w:rsidRDefault="00923074">
      <w:pPr>
        <w:spacing w:after="213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</w:rPr>
        <w:t xml:space="preserve">(Ad uso esclusivo dei Presidenti del </w:t>
      </w:r>
      <w:proofErr w:type="spellStart"/>
      <w:r>
        <w:rPr>
          <w:rFonts w:ascii="Calibri" w:eastAsia="Calibri" w:hAnsi="Calibri" w:cs="Calibri"/>
          <w:i/>
        </w:rPr>
        <w:t>CdP</w:t>
      </w:r>
      <w:proofErr w:type="spellEnd"/>
      <w:r>
        <w:rPr>
          <w:rFonts w:ascii="Calibri" w:eastAsia="Calibri" w:hAnsi="Calibri" w:cs="Calibri"/>
          <w:i/>
        </w:rPr>
        <w:t xml:space="preserve">) </w:t>
      </w:r>
    </w:p>
    <w:p w:rsidR="00703845" w:rsidRDefault="00923074">
      <w:pPr>
        <w:ind w:left="-5"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478933</wp:posOffset>
                </wp:positionV>
                <wp:extent cx="6647308" cy="321563"/>
                <wp:effectExtent l="0" t="0" r="0" b="0"/>
                <wp:wrapNone/>
                <wp:docPr id="8919" name="Group 8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308" cy="321563"/>
                          <a:chOff x="0" y="0"/>
                          <a:chExt cx="6647308" cy="321563"/>
                        </a:xfrm>
                      </wpg:grpSpPr>
                      <wps:wsp>
                        <wps:cNvPr id="12649" name="Shape 12649"/>
                        <wps:cNvSpPr/>
                        <wps:spPr>
                          <a:xfrm>
                            <a:off x="1690370" y="0"/>
                            <a:ext cx="495693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938" h="160020">
                                <a:moveTo>
                                  <a:pt x="0" y="0"/>
                                </a:moveTo>
                                <a:lnTo>
                                  <a:pt x="4956938" y="0"/>
                                </a:lnTo>
                                <a:lnTo>
                                  <a:pt x="495693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0" name="Shape 12650"/>
                        <wps:cNvSpPr/>
                        <wps:spPr>
                          <a:xfrm>
                            <a:off x="0" y="160020"/>
                            <a:ext cx="571017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174" h="161544">
                                <a:moveTo>
                                  <a:pt x="0" y="0"/>
                                </a:moveTo>
                                <a:lnTo>
                                  <a:pt x="5710174" y="0"/>
                                </a:lnTo>
                                <a:lnTo>
                                  <a:pt x="571017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9" style="width:523.41pt;height:25.3199pt;position:absolute;z-index:-2147483623;mso-position-horizontal-relative:text;mso-position-horizontal:absolute;margin-left:0pt;mso-position-vertical-relative:text;margin-top:37.7112pt;" coordsize="66473,3215">
                <v:shape id="Shape 12651" style="position:absolute;width:49569;height:1600;left:16903;top:0;" coordsize="4956938,160020" path="m0,0l4956938,0l4956938,160020l0,160020l0,0">
                  <v:stroke weight="0pt" endcap="flat" joinstyle="miter" miterlimit="10" on="false" color="#000000" opacity="0"/>
                  <v:fill on="true" color="#ffff00"/>
                </v:shape>
                <v:shape id="Shape 12652" style="position:absolute;width:57101;height:1615;left:0;top:1600;" coordsize="5710174,161544" path="m0,0l5710174,0l5710174,161544l0,161544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Quando il Comitato per le Proteste ha la discrezione per decidere la penalità più adeguata </w:t>
      </w:r>
      <w:proofErr w:type="gramStart"/>
      <w:r>
        <w:t>per</w:t>
      </w:r>
      <w:proofErr w:type="gramEnd"/>
      <w:r>
        <w:t xml:space="preserve"> un’infrazione, le penalità possono variare in un range che va da nessuna penalità alla squalifica. Tuttavia la FIV stabilisce che, in accordo con le “</w:t>
      </w:r>
      <w:proofErr w:type="spellStart"/>
      <w:r>
        <w:t>guidelines</w:t>
      </w:r>
      <w:proofErr w:type="spellEnd"/>
      <w:r>
        <w:t xml:space="preserve"> IODA”, devono essere seguite le seguenti linee di condotta nell’assegnare le penalità. </w:t>
      </w:r>
      <w:r w:rsidRPr="001E602D">
        <w:rPr>
          <w:highlight w:val="yellow"/>
        </w:rPr>
        <w:t xml:space="preserve">Se il </w:t>
      </w:r>
      <w:proofErr w:type="spellStart"/>
      <w:r w:rsidRPr="001E602D">
        <w:rPr>
          <w:highlight w:val="yellow"/>
        </w:rPr>
        <w:t>CdP</w:t>
      </w:r>
      <w:proofErr w:type="spellEnd"/>
      <w:r w:rsidRPr="001E602D">
        <w:rPr>
          <w:highlight w:val="yellow"/>
        </w:rPr>
        <w:t xml:space="preserve"> decide che possa essere applicabile una penalità superiore al DSQ, allora potrà prendere in considerazione di iniziare un’azione per infrazione della RRS 2 o 69.</w:t>
      </w:r>
      <w:r>
        <w:t xml:space="preserve"> </w:t>
      </w:r>
    </w:p>
    <w:p w:rsidR="00703845" w:rsidRDefault="00703845">
      <w:pPr>
        <w:spacing w:after="0" w:line="259" w:lineRule="auto"/>
        <w:ind w:left="0" w:right="0" w:firstLine="0"/>
        <w:jc w:val="left"/>
      </w:pPr>
    </w:p>
    <w:p w:rsidR="00703845" w:rsidRDefault="00923074">
      <w:pPr>
        <w:ind w:left="-5" w:right="0"/>
      </w:pPr>
      <w:r>
        <w:t>Le penalità</w:t>
      </w:r>
      <w:r w:rsidR="00463A7E">
        <w:t xml:space="preserve"> per le regate di flotta</w:t>
      </w:r>
      <w:r>
        <w:t xml:space="preserve"> sono suddivise in </w:t>
      </w:r>
      <w:r w:rsidR="00463A7E">
        <w:t>quattro</w:t>
      </w:r>
      <w:r>
        <w:t xml:space="preserve"> fasce: </w:t>
      </w:r>
    </w:p>
    <w:p w:rsidR="00703845" w:rsidRDefault="009230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3845" w:rsidRDefault="00923074">
      <w:pPr>
        <w:ind w:left="718" w:right="0"/>
      </w:pPr>
      <w:r>
        <w:t xml:space="preserve">Fascia 1 – valore di riferimento </w:t>
      </w:r>
      <w:r w:rsidR="00463A7E">
        <w:t>3 punti</w:t>
      </w:r>
      <w:r>
        <w:t xml:space="preserve"> </w:t>
      </w:r>
    </w:p>
    <w:p w:rsidR="00703845" w:rsidRDefault="00923074">
      <w:pPr>
        <w:ind w:left="718" w:right="0"/>
      </w:pPr>
      <w:r>
        <w:t xml:space="preserve">Fascia 2 – valore di riferimento </w:t>
      </w:r>
      <w:r w:rsidR="006A564D">
        <w:t>7</w:t>
      </w:r>
      <w:r w:rsidR="00463A7E">
        <w:t xml:space="preserve"> punti</w:t>
      </w:r>
      <w:r>
        <w:t xml:space="preserve"> </w:t>
      </w:r>
    </w:p>
    <w:p w:rsidR="00703845" w:rsidRDefault="00923074">
      <w:pPr>
        <w:ind w:left="718" w:right="0"/>
      </w:pPr>
      <w:r>
        <w:t xml:space="preserve">Fascia 3 – valore di riferimento </w:t>
      </w:r>
      <w:r w:rsidR="006A564D">
        <w:t>20</w:t>
      </w:r>
      <w:r w:rsidR="00463A7E">
        <w:t xml:space="preserve"> punti</w:t>
      </w:r>
      <w:r>
        <w:t xml:space="preserve"> </w:t>
      </w:r>
    </w:p>
    <w:p w:rsidR="00703845" w:rsidRDefault="00923074">
      <w:pPr>
        <w:ind w:left="718" w:right="0"/>
      </w:pPr>
      <w:r>
        <w:t>Fascia 4 – DSQ</w:t>
      </w:r>
    </w:p>
    <w:p w:rsidR="00703845" w:rsidRDefault="00463A7E" w:rsidP="00463A7E">
      <w:pPr>
        <w:spacing w:after="0" w:line="259" w:lineRule="auto"/>
        <w:ind w:right="0"/>
        <w:jc w:val="left"/>
      </w:pPr>
      <w:r w:rsidRPr="00CC0D9D">
        <w:rPr>
          <w:b/>
          <w:bCs/>
        </w:rPr>
        <w:t>Più ulteriori quattro fasce per le regate di team race</w:t>
      </w:r>
      <w:r>
        <w:t>.</w:t>
      </w:r>
    </w:p>
    <w:p w:rsidR="00CC0D9D" w:rsidRDefault="00CC0D9D" w:rsidP="00463A7E">
      <w:pPr>
        <w:spacing w:after="0" w:line="259" w:lineRule="auto"/>
        <w:ind w:right="0"/>
        <w:jc w:val="left"/>
      </w:pPr>
      <w:bookmarkStart w:id="0" w:name="_GoBack"/>
      <w:bookmarkEnd w:id="0"/>
    </w:p>
    <w:p w:rsidR="00463A7E" w:rsidRDefault="00CC0D9D" w:rsidP="00463A7E">
      <w:pPr>
        <w:spacing w:after="0" w:line="259" w:lineRule="auto"/>
        <w:ind w:right="0"/>
        <w:jc w:val="left"/>
      </w:pPr>
      <w:r w:rsidRPr="00CC0D9D">
        <w:rPr>
          <w:b/>
          <w:bCs/>
        </w:rPr>
        <w:t>I punteggi di cui sopra valgono per regate di 55 – 60 concorrenti. Quelli riportati nelle tabelle allegate valgono per regate dove il numero di concorrenti è di circa 80</w:t>
      </w:r>
      <w:r>
        <w:t>.</w:t>
      </w:r>
    </w:p>
    <w:p w:rsidR="00CC0D9D" w:rsidRDefault="00CC0D9D" w:rsidP="00463A7E">
      <w:pPr>
        <w:spacing w:after="0" w:line="259" w:lineRule="auto"/>
        <w:ind w:right="0"/>
        <w:jc w:val="left"/>
      </w:pPr>
    </w:p>
    <w:p w:rsidR="00703845" w:rsidRDefault="00923074">
      <w:pPr>
        <w:ind w:left="-5" w:right="0"/>
      </w:pPr>
      <w:r>
        <w:t xml:space="preserve">Si comincia usando il presente documento per stabilire quale fascia si applica all’infrazione.  </w:t>
      </w:r>
    </w:p>
    <w:p w:rsidR="00703845" w:rsidRDefault="009230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3845" w:rsidRDefault="00923074">
      <w:pPr>
        <w:ind w:left="-5" w:right="0"/>
      </w:pPr>
      <w:r>
        <w:t xml:space="preserve">Le domande da considerare quando si decide in che fascia inserire inizialmente la penalità includono: </w:t>
      </w:r>
    </w:p>
    <w:p w:rsidR="00703845" w:rsidRDefault="0092307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11" w:type="dxa"/>
        <w:tblInd w:w="708" w:type="dxa"/>
        <w:tblLook w:val="04A0" w:firstRow="1" w:lastRow="0" w:firstColumn="1" w:lastColumn="0" w:noHBand="0" w:noVBand="1"/>
      </w:tblPr>
      <w:tblGrid>
        <w:gridCol w:w="708"/>
        <w:gridCol w:w="8403"/>
      </w:tblGrid>
      <w:tr w:rsidR="00703845">
        <w:trPr>
          <w:trHeight w:val="25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1(a) 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</w:pPr>
            <w:r>
              <w:t xml:space="preserve">L’infrazione ha compromesso la sicurezza degli altri concorrenti o degli organizzatori? </w:t>
            </w:r>
          </w:p>
        </w:tc>
      </w:tr>
      <w:tr w:rsidR="00703845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1(b) 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La barca coinvolta ha ottenuto un vantaggio competitivo grazie all’infrazione? </w:t>
            </w:r>
          </w:p>
        </w:tc>
      </w:tr>
      <w:tr w:rsidR="00703845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1(c) 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L’infrazione potrebbe aver messo in discredito lo sport della vela o l’organizzazione? </w:t>
            </w:r>
          </w:p>
        </w:tc>
      </w:tr>
      <w:tr w:rsidR="00703845">
        <w:trPr>
          <w:trHeight w:val="2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1(d) 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L’infrazione ha provocato danni o lesioni? </w:t>
            </w:r>
          </w:p>
        </w:tc>
      </w:tr>
      <w:tr w:rsidR="00703845">
        <w:trPr>
          <w:trHeight w:val="2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1(e) 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  <w:jc w:val="left"/>
            </w:pPr>
            <w:r>
              <w:t xml:space="preserve">l’infrazione ha provocato disagio a qualcuno? </w:t>
            </w:r>
          </w:p>
        </w:tc>
      </w:tr>
    </w:tbl>
    <w:p w:rsidR="00703845" w:rsidRDefault="0092307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E602D" w:rsidRDefault="00923074">
      <w:pPr>
        <w:ind w:left="-5" w:right="0"/>
      </w:pPr>
      <w:r>
        <w:t>Porsi quindi le seguenti domande per determinare se è il caso di passare alla fascia superiore o inferiore o massimizzare o minimizzare la penalità all’interno della fascia.</w:t>
      </w:r>
    </w:p>
    <w:p w:rsidR="00703845" w:rsidRDefault="00923074">
      <w:pPr>
        <w:ind w:left="-5" w:right="0"/>
      </w:pPr>
      <w:r>
        <w:t xml:space="preserve"> </w:t>
      </w:r>
    </w:p>
    <w:tbl>
      <w:tblPr>
        <w:tblStyle w:val="TableGrid"/>
        <w:tblW w:w="10529" w:type="dxa"/>
        <w:tblInd w:w="0" w:type="dxa"/>
        <w:tblLook w:val="04A0" w:firstRow="1" w:lastRow="0" w:firstColumn="1" w:lastColumn="0" w:noHBand="0" w:noVBand="1"/>
      </w:tblPr>
      <w:tblGrid>
        <w:gridCol w:w="1416"/>
        <w:gridCol w:w="9113"/>
      </w:tblGrid>
      <w:tr w:rsidR="00703845">
        <w:trPr>
          <w:trHeight w:val="5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708" w:right="0" w:firstLine="0"/>
              <w:jc w:val="left"/>
            </w:pPr>
            <w:r>
              <w:t xml:space="preserve">2(a)  </w:t>
            </w: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</w:pPr>
            <w:r>
              <w:t xml:space="preserve">L’infrazione era deliberata? Aumentare la fascia almeno di un livello e considerare se applicare la RRS 2. </w:t>
            </w:r>
          </w:p>
        </w:tc>
      </w:tr>
      <w:tr w:rsidR="00703845">
        <w:trPr>
          <w:trHeight w:val="5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708" w:right="0" w:firstLine="0"/>
              <w:jc w:val="left"/>
            </w:pPr>
            <w:r>
              <w:t xml:space="preserve">2(b)  </w:t>
            </w: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</w:pPr>
            <w:r>
              <w:t xml:space="preserve">C’era una ragione valida o giustificazione per l’infrazione Considerare la Fascia 0 nel caso in cui ci sia una buona ragione. </w:t>
            </w:r>
          </w:p>
        </w:tc>
      </w:tr>
      <w:tr w:rsidR="00703845">
        <w:trPr>
          <w:trHeight w:val="5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708" w:right="0" w:firstLine="0"/>
              <w:jc w:val="left"/>
            </w:pPr>
            <w:r>
              <w:t xml:space="preserve">2(c)  </w:t>
            </w: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</w:pPr>
            <w:r>
              <w:t xml:space="preserve">C’è stato un qualche tentativo per nascondere l’infrazione? Aumentare la fascia almeno di un livello e considerare se applicare la RRS 2. </w:t>
            </w:r>
          </w:p>
        </w:tc>
      </w:tr>
      <w:tr w:rsidR="00703845">
        <w:trPr>
          <w:trHeight w:val="5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708" w:right="0" w:firstLine="0"/>
              <w:jc w:val="left"/>
            </w:pPr>
            <w:r>
              <w:t xml:space="preserve">2(d)  </w:t>
            </w: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</w:pPr>
            <w:r>
              <w:t xml:space="preserve">L’infrazione era dovuta a indifferenza o a un disinvolto disprezzo delle regole? Incrementare al massimo della fascia o di un livello. </w:t>
            </w:r>
          </w:p>
        </w:tc>
      </w:tr>
      <w:tr w:rsidR="00703845">
        <w:trPr>
          <w:trHeight w:val="50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708" w:right="0" w:firstLine="0"/>
              <w:jc w:val="left"/>
            </w:pPr>
            <w:r>
              <w:t>2(</w:t>
            </w:r>
            <w:r w:rsidR="001E602D">
              <w:t>e</w:t>
            </w:r>
            <w:r>
              <w:t xml:space="preserve">)  </w:t>
            </w: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703845" w:rsidRDefault="00923074">
            <w:pPr>
              <w:spacing w:after="0" w:line="259" w:lineRule="auto"/>
              <w:ind w:left="0" w:right="0" w:firstLine="0"/>
            </w:pPr>
            <w:r>
              <w:t xml:space="preserve">L’infrazione è stata segnalata dal concorrente? Può giustificare l’applicazione del minimo della fascia o l’applicazione della fascia inferiore. </w:t>
            </w:r>
          </w:p>
        </w:tc>
      </w:tr>
    </w:tbl>
    <w:p w:rsidR="00703845" w:rsidRDefault="0092307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03845" w:rsidRDefault="00923074">
      <w:pPr>
        <w:ind w:left="-5" w:right="0"/>
      </w:pPr>
      <w:r>
        <w:t xml:space="preserve">Per applicare la penalità devono essere usati I seguenti principi. </w:t>
      </w:r>
    </w:p>
    <w:p w:rsidR="00703845" w:rsidRDefault="00923074">
      <w:pPr>
        <w:spacing w:after="0" w:line="259" w:lineRule="auto"/>
        <w:ind w:left="0" w:right="0" w:firstLine="0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703845" w:rsidRDefault="00923074">
      <w:pPr>
        <w:numPr>
          <w:ilvl w:val="0"/>
          <w:numId w:val="1"/>
        </w:numPr>
        <w:ind w:right="0" w:hanging="427"/>
      </w:pPr>
      <w:r>
        <w:t>Utilizzando le domande da 1(a) a (</w:t>
      </w:r>
      <w:r w:rsidR="00A4598B">
        <w:t>e</w:t>
      </w:r>
      <w:r>
        <w:t xml:space="preserve">) in connessione con la guida di cui alla tabella seguente, </w:t>
      </w:r>
    </w:p>
    <w:p w:rsidR="00703845" w:rsidRDefault="00923074">
      <w:pPr>
        <w:ind w:left="437" w:right="0"/>
      </w:pPr>
      <w:r>
        <w:t xml:space="preserve">determinare la fascia “di partenza” ed il valore di riferimento. </w:t>
      </w:r>
    </w:p>
    <w:p w:rsidR="00703845" w:rsidRDefault="00923074">
      <w:pPr>
        <w:numPr>
          <w:ilvl w:val="0"/>
          <w:numId w:val="1"/>
        </w:numPr>
        <w:ind w:right="0" w:hanging="427"/>
      </w:pPr>
      <w:r>
        <w:lastRenderedPageBreak/>
        <w:t>Utilizzando le domande da 2(a) a (</w:t>
      </w:r>
      <w:r w:rsidR="00A4598B">
        <w:t>e</w:t>
      </w:r>
      <w:r>
        <w:t xml:space="preserve">), decidere se il valore di riferimento è appropriato o se la penalità dovrebbe essere incrementata o decrementata. Una modifica verso la parte più alta o più bassa dovrebbe essere effettuata solamente nel caso di circostanze eccezionali. </w:t>
      </w:r>
    </w:p>
    <w:p w:rsidR="00703845" w:rsidRDefault="00923074">
      <w:pPr>
        <w:numPr>
          <w:ilvl w:val="0"/>
          <w:numId w:val="1"/>
        </w:numPr>
        <w:ind w:right="0" w:hanging="427"/>
      </w:pPr>
      <w:r>
        <w:t xml:space="preserve">Qualsiasi penalità deve eccedere ogni probabile guadagno. </w:t>
      </w:r>
    </w:p>
    <w:p w:rsidR="00703845" w:rsidRDefault="00923074">
      <w:pPr>
        <w:numPr>
          <w:ilvl w:val="0"/>
          <w:numId w:val="1"/>
        </w:numPr>
        <w:ind w:right="0" w:hanging="427"/>
      </w:pPr>
      <w:r>
        <w:t xml:space="preserve">Una penalità discrezionale non dovrebbe normalmente rendere il punteggio della barca peggiore del ritiro o di una squalifica. </w:t>
      </w:r>
    </w:p>
    <w:p w:rsidR="00703845" w:rsidRPr="00A4598B" w:rsidRDefault="00923074">
      <w:pPr>
        <w:numPr>
          <w:ilvl w:val="0"/>
          <w:numId w:val="1"/>
        </w:numPr>
        <w:ind w:right="0" w:hanging="427"/>
        <w:rPr>
          <w:b/>
          <w:bCs/>
        </w:rPr>
      </w:pPr>
      <w:r w:rsidRPr="00A4598B">
        <w:rPr>
          <w:b/>
          <w:bCs/>
        </w:rPr>
        <w:t xml:space="preserve">Le penalità percentuali sono calcolate come </w:t>
      </w:r>
      <w:r w:rsidR="00A4598B" w:rsidRPr="00A4598B">
        <w:rPr>
          <w:b/>
          <w:bCs/>
        </w:rPr>
        <w:t>incremento del punteggio</w:t>
      </w:r>
      <w:r w:rsidRPr="00A4598B">
        <w:rPr>
          <w:b/>
          <w:bCs/>
        </w:rPr>
        <w:t xml:space="preserve"> </w:t>
      </w:r>
      <w:r w:rsidR="00A4598B" w:rsidRPr="00A4598B">
        <w:rPr>
          <w:b/>
          <w:bCs/>
        </w:rPr>
        <w:t xml:space="preserve">e si ipotizza che </w:t>
      </w:r>
      <w:r w:rsidRPr="00A4598B">
        <w:rPr>
          <w:b/>
          <w:bCs/>
        </w:rPr>
        <w:t xml:space="preserve">la regata </w:t>
      </w:r>
      <w:r w:rsidR="00A4598B" w:rsidRPr="00A4598B">
        <w:rPr>
          <w:b/>
          <w:bCs/>
        </w:rPr>
        <w:t>sia</w:t>
      </w:r>
      <w:r w:rsidRPr="00A4598B">
        <w:rPr>
          <w:b/>
          <w:bCs/>
        </w:rPr>
        <w:t xml:space="preserve"> divisa in batterie</w:t>
      </w:r>
      <w:r w:rsidR="00A4598B" w:rsidRPr="00A4598B">
        <w:rPr>
          <w:b/>
          <w:bCs/>
        </w:rPr>
        <w:t xml:space="preserve"> con un numero massimo di 80 partecipanti. Nel caso di numeri inferiori o superiori la penalità deve essere adeguata di conseguenza</w:t>
      </w:r>
    </w:p>
    <w:p w:rsidR="00703845" w:rsidRDefault="00923074">
      <w:pPr>
        <w:numPr>
          <w:ilvl w:val="0"/>
          <w:numId w:val="1"/>
        </w:numPr>
        <w:ind w:right="0" w:hanging="427"/>
      </w:pPr>
      <w:r>
        <w:t xml:space="preserve">Quando l’infrazione riguarda più di una prova in una giornata ma risulta appropriato penalizzare la barca per una sola prova, la penalità dovrebbe essere applicata o alla prima prova del giorno o alla prova più vicina nel tempo all’incidente. </w:t>
      </w:r>
    </w:p>
    <w:p w:rsidR="00703845" w:rsidRDefault="009230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3845" w:rsidRDefault="00923074">
      <w:pPr>
        <w:ind w:left="-5" w:right="0"/>
      </w:pPr>
      <w:r>
        <w:t xml:space="preserve">Quando I concorrenti si rendono conto di aver infranto una regola soggetta a penalità discrezionali, essi dovrebbero riferire al Comitato per le Proteste e quindi da questa essere invitati a compilare un modulo in cui si descrive l’incidente. Il Comitato per le Proteste proporrà quindi una penalità che la barca può accettare senza udienza. </w:t>
      </w:r>
    </w:p>
    <w:p w:rsidR="00703845" w:rsidRDefault="009230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3845" w:rsidRDefault="00923074">
      <w:pPr>
        <w:ind w:left="-5" w:right="0"/>
      </w:pPr>
      <w:r>
        <w:t>Le seguenti penalità sono quelle suggerite come guida e punto di partenza per assegnare qualsiasi penalità prima di considerare le domande da 1(a) ad (e) e da 2(a) a (</w:t>
      </w:r>
      <w:r w:rsidR="001E602D">
        <w:t>e</w:t>
      </w:r>
      <w:r>
        <w:t xml:space="preserve">). </w:t>
      </w:r>
    </w:p>
    <w:p w:rsidR="00703845" w:rsidRDefault="0092307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63" w:type="dxa"/>
        <w:tblInd w:w="137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10240"/>
        <w:gridCol w:w="23"/>
      </w:tblGrid>
      <w:tr w:rsidR="00424E4E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4E" w:rsidRPr="00F06581" w:rsidRDefault="00424E4E">
            <w:pPr>
              <w:spacing w:after="0" w:line="259" w:lineRule="auto"/>
              <w:ind w:left="1215" w:right="0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>- REGATE DI FLOTTA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E4E" w:rsidRDefault="00424E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3845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845" w:rsidRPr="00F06581" w:rsidRDefault="006A564D">
            <w:pPr>
              <w:spacing w:after="0" w:line="259" w:lineRule="auto"/>
              <w:ind w:left="1215" w:right="0" w:firstLine="0"/>
              <w:jc w:val="center"/>
              <w:rPr>
                <w:b/>
                <w:bCs/>
              </w:rPr>
            </w:pPr>
            <w:r w:rsidRPr="00F06581">
              <w:rPr>
                <w:b/>
                <w:bCs/>
              </w:rPr>
              <w:t xml:space="preserve">PENALITA’ TECNICHE MINORI – </w:t>
            </w:r>
            <w:r w:rsidR="00A4598B">
              <w:rPr>
                <w:b/>
                <w:bCs/>
              </w:rPr>
              <w:t>5</w:t>
            </w:r>
            <w:r w:rsidRPr="00F06581">
              <w:rPr>
                <w:b/>
                <w:bCs/>
              </w:rPr>
              <w:t xml:space="preserve"> Punti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3845" w:rsidRDefault="007038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454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6A564D">
            <w:pPr>
              <w:spacing w:after="0" w:line="259" w:lineRule="auto"/>
              <w:ind w:left="108" w:right="0" w:firstLine="0"/>
              <w:jc w:val="left"/>
            </w:pPr>
            <w:r w:rsidRPr="002F44DD">
              <w:t>Mancata segnalazione del danno alla barca charter (SI 5.2)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7F502C">
              <w:t xml:space="preserve">Mancato rispetto dell'obbligo di denunciare </w:t>
            </w:r>
            <w:r>
              <w:t xml:space="preserve">l’esecuzione di una </w:t>
            </w:r>
            <w:r w:rsidRPr="007F502C">
              <w:t xml:space="preserve">penalità o </w:t>
            </w:r>
            <w:r>
              <w:t>il ritiro</w:t>
            </w:r>
            <w:r w:rsidRPr="007F502C">
              <w:t xml:space="preserve"> (SI 16.1</w:t>
            </w:r>
            <w:r w:rsidR="006A56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471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  <w:jc w:val="left"/>
            </w:pPr>
            <w:r>
              <w:t xml:space="preserve">Mancata esposizione del </w:t>
            </w:r>
            <w:r w:rsidRPr="007F502C">
              <w:t xml:space="preserve">nastro colorato </w:t>
            </w:r>
            <w:r>
              <w:t>che identifica la batteria</w:t>
            </w:r>
            <w:r w:rsidRPr="007F502C">
              <w:t xml:space="preserve"> (SI    7.2.1</w:t>
            </w:r>
            <w:r w:rsidR="006A56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46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>Violazioni dell</w:t>
            </w:r>
            <w:r>
              <w:t xml:space="preserve">e prescrizioni relative alla </w:t>
            </w:r>
            <w:r w:rsidRPr="002F44DD">
              <w:t xml:space="preserve">fotocamera SI 2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 xml:space="preserve">Violazione delle norme di sicurezza SI 20 in caso non vi sia una situazione di pericolo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47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 xml:space="preserve">Violazioni </w:t>
            </w:r>
            <w:r>
              <w:t>relative alla sistemazione nei posti assegnati</w:t>
            </w:r>
            <w:r w:rsidRPr="002F44DD">
              <w:t xml:space="preserve"> SI 26 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F06581" w:rsidP="00F06581">
            <w:pPr>
              <w:keepNext/>
              <w:keepLines/>
              <w:spacing w:after="0" w:line="259" w:lineRule="auto"/>
              <w:ind w:left="139" w:right="0"/>
              <w:jc w:val="center"/>
              <w:outlineLvl w:val="0"/>
            </w:pPr>
            <w:r w:rsidRPr="00F06581">
              <w:rPr>
                <w:b/>
                <w:bCs/>
              </w:rPr>
              <w:t xml:space="preserve">MINORI INFRAZIONI DELLE REGOLE DI CLASSE - </w:t>
            </w:r>
            <w:r w:rsidR="00A4598B">
              <w:rPr>
                <w:b/>
                <w:bCs/>
              </w:rPr>
              <w:t>11</w:t>
            </w:r>
            <w:r w:rsidRPr="00F06581">
              <w:rPr>
                <w:b/>
                <w:bCs/>
              </w:rPr>
              <w:t xml:space="preserve"> Punti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64D" w:rsidRDefault="006A564D" w:rsidP="00F0658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6A564D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 xml:space="preserve">Sassola non attaccata allo scafo (CR 4.3 a)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  <w:jc w:val="left"/>
            </w:pPr>
            <w:r w:rsidRPr="002F44DD">
              <w:t xml:space="preserve">Pagaia non fissata allo scafo (CR 4.3c)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471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06581">
            <w:pPr>
              <w:spacing w:after="0" w:line="259" w:lineRule="auto"/>
              <w:ind w:left="108" w:right="0" w:firstLine="0"/>
            </w:pPr>
            <w:r w:rsidRPr="002F44DD">
              <w:t>D</w:t>
            </w:r>
            <w:r>
              <w:t>eriva</w:t>
            </w:r>
            <w:r w:rsidRPr="002F44DD">
              <w:t xml:space="preserve"> non attaccat</w:t>
            </w:r>
            <w:r>
              <w:t>a</w:t>
            </w:r>
            <w:r w:rsidRPr="002F44DD">
              <w:t xml:space="preserve"> allo scafo (CR 3.3.4)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63" w:rsidRPr="006476F7" w:rsidRDefault="00137163">
            <w:pPr>
              <w:spacing w:after="0" w:line="259" w:lineRule="auto"/>
              <w:ind w:left="108" w:right="0" w:firstLine="0"/>
              <w:jc w:val="left"/>
            </w:pPr>
            <w:r w:rsidRPr="009D5EF9">
              <w:t>C</w:t>
            </w:r>
            <w:r>
              <w:t>ima di traino</w:t>
            </w:r>
            <w:r w:rsidRPr="009D5EF9">
              <w:t xml:space="preserve"> non </w:t>
            </w:r>
            <w:r>
              <w:t>fissata alla base dell’albero</w:t>
            </w:r>
            <w:r w:rsidRPr="009D5EF9">
              <w:t xml:space="preserve"> (CR    4.3b)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6F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F7" w:rsidRPr="009D5EF9" w:rsidRDefault="006476F7">
            <w:pPr>
              <w:spacing w:after="0" w:line="259" w:lineRule="auto"/>
              <w:ind w:left="108" w:right="0" w:firstLine="0"/>
              <w:jc w:val="left"/>
            </w:pPr>
            <w:r w:rsidRPr="009D5EF9">
              <w:t>Fischi</w:t>
            </w:r>
            <w:r>
              <w:t>etto</w:t>
            </w:r>
            <w:r w:rsidRPr="009D5EF9">
              <w:t xml:space="preserve"> non attaccato al dispositivo di galleggiamento personale (CR 4.2a)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F7" w:rsidRDefault="006476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6F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F7" w:rsidRPr="009D5EF9" w:rsidRDefault="006476F7">
            <w:pPr>
              <w:spacing w:after="0" w:line="259" w:lineRule="auto"/>
              <w:ind w:left="108" w:right="0" w:firstLine="0"/>
              <w:jc w:val="left"/>
            </w:pPr>
            <w:r w:rsidRPr="009D5EF9">
              <w:t xml:space="preserve">Uno </w:t>
            </w:r>
            <w:proofErr w:type="spellStart"/>
            <w:r w:rsidRPr="009D5EF9">
              <w:t>stroppetto</w:t>
            </w:r>
            <w:proofErr w:type="spellEnd"/>
            <w:r w:rsidRPr="009D5EF9">
              <w:t xml:space="preserve"> di fissaggio della </w:t>
            </w:r>
            <w:proofErr w:type="gramStart"/>
            <w:r w:rsidRPr="009D5EF9">
              <w:t>vela  5</w:t>
            </w:r>
            <w:proofErr w:type="gramEnd"/>
            <w:r w:rsidRPr="009D5EF9">
              <w:t xml:space="preserve"> mm </w:t>
            </w:r>
            <w:r>
              <w:t>o più oltre il consentito</w:t>
            </w:r>
            <w:r w:rsidRPr="009D5EF9">
              <w:t xml:space="preserve"> (CR  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F7" w:rsidRDefault="006476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6F7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F7" w:rsidRPr="009D5EF9" w:rsidRDefault="00667273">
            <w:pPr>
              <w:spacing w:after="0" w:line="259" w:lineRule="auto"/>
              <w:ind w:left="108" w:right="0" w:firstLine="0"/>
              <w:jc w:val="left"/>
            </w:pPr>
            <w:r>
              <w:t xml:space="preserve">Due </w:t>
            </w:r>
            <w:proofErr w:type="spellStart"/>
            <w:r>
              <w:t>stroppetti</w:t>
            </w:r>
            <w:proofErr w:type="spellEnd"/>
            <w:r>
              <w:t xml:space="preserve"> di fissaggio della vela 3 mm o più oltre il consentito </w:t>
            </w:r>
            <w:r w:rsidRPr="009D5EF9">
              <w:t>(CR  6.6.3.4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F7" w:rsidRDefault="006476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 w:rsidRPr="00667273">
              <w:t>Perdita accidenta</w:t>
            </w:r>
            <w:r>
              <w:t>l</w:t>
            </w:r>
            <w:r w:rsidRPr="00667273">
              <w:t>e d</w:t>
            </w:r>
            <w:r>
              <w:t>i</w:t>
            </w:r>
            <w:r w:rsidRPr="00667273">
              <w:t xml:space="preserve"> uno </w:t>
            </w:r>
            <w:proofErr w:type="spellStart"/>
            <w:r w:rsidRPr="00667273">
              <w:t>stroppe</w:t>
            </w:r>
            <w:r>
              <w:t>tto</w:t>
            </w:r>
            <w:proofErr w:type="spellEnd"/>
            <w:r>
              <w:t xml:space="preserve"> di fissaggio</w:t>
            </w:r>
            <w:r w:rsidRPr="00667273">
              <w:t xml:space="preserve"> (CR   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 w:rsidRPr="00667273">
              <w:t xml:space="preserve">Navigare attraverso una </w:t>
            </w:r>
            <w:r>
              <w:t>prova</w:t>
            </w:r>
            <w:r w:rsidRPr="00667273">
              <w:t xml:space="preserve"> in corso prima di iniziare o dopo aver terminato (SI 13.3)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 w:rsidRPr="00667273">
              <w:t>Fuori dall'area di attesa (SI 13.2)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 w:rsidRPr="00667273">
              <w:t>Violazioni delle imbarcazioni di supporto SI 24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73" w:rsidRPr="00667273" w:rsidRDefault="00667273">
            <w:pPr>
              <w:spacing w:after="0" w:line="259" w:lineRule="auto"/>
              <w:ind w:left="108" w:right="0" w:firstLine="0"/>
              <w:jc w:val="left"/>
            </w:pPr>
            <w:r>
              <w:t>P</w:t>
            </w:r>
            <w:r w:rsidRPr="00667273">
              <w:t>osizione della cinghia sul</w:t>
            </w:r>
            <w:r w:rsidR="008E2A37">
              <w:t xml:space="preserve"> boma </w:t>
            </w:r>
            <w:r w:rsidRPr="00667273">
              <w:t>compresa tra 101 mm e 115 mm (CR 3.5.3.8)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67273" w:rsidRPr="00667273" w:rsidTr="00E63119">
        <w:trPr>
          <w:trHeight w:val="24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73" w:rsidRPr="00667273" w:rsidRDefault="008E2A37">
            <w:pPr>
              <w:spacing w:after="0" w:line="259" w:lineRule="auto"/>
              <w:ind w:left="108" w:right="0" w:firstLine="0"/>
              <w:jc w:val="left"/>
            </w:pPr>
            <w:r w:rsidRPr="008E2A37">
              <w:lastRenderedPageBreak/>
              <w:t>Anello (i) sull'arco di scorrimento del</w:t>
            </w:r>
            <w:r>
              <w:t xml:space="preserve"> boma</w:t>
            </w:r>
            <w:r w:rsidRPr="008E2A37">
              <w:t xml:space="preserve"> (CR 3.5.3.8)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73" w:rsidRPr="00667273" w:rsidRDefault="006672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Pr="008E2A37" w:rsidRDefault="008E2A37" w:rsidP="00424E4E">
            <w:pPr>
              <w:keepNext/>
              <w:keepLines/>
              <w:spacing w:after="0" w:line="259" w:lineRule="auto"/>
              <w:ind w:left="139" w:right="0"/>
              <w:jc w:val="center"/>
              <w:outlineLvl w:val="0"/>
              <w:rPr>
                <w:b/>
                <w:bCs/>
              </w:rPr>
            </w:pPr>
            <w:r w:rsidRPr="008E2A37">
              <w:rPr>
                <w:b/>
                <w:bCs/>
              </w:rPr>
              <w:t xml:space="preserve">INFRAZIONI INTERMEDIE DELLE REGOLE DI CLASSE – </w:t>
            </w:r>
            <w:r w:rsidR="00A4598B">
              <w:rPr>
                <w:b/>
                <w:bCs/>
              </w:rPr>
              <w:t>30</w:t>
            </w:r>
            <w:r w:rsidRPr="008E2A37">
              <w:rPr>
                <w:b/>
                <w:bCs/>
              </w:rPr>
              <w:t xml:space="preserve"> Punti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8E2A37">
            <w:pPr>
              <w:spacing w:after="0" w:line="259" w:lineRule="auto"/>
              <w:ind w:left="108" w:right="0" w:firstLine="0"/>
              <w:jc w:val="left"/>
            </w:pPr>
            <w:r w:rsidRPr="008E2A37">
              <w:t>Sassola, pagaia o cima di traino non a bordo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E2A37">
              <w:t>(CR 4.3)</w:t>
            </w:r>
            <w:r w:rsidR="006A564D">
              <w:rPr>
                <w:sz w:val="20"/>
              </w:rP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Pr="008E2A37" w:rsidRDefault="008E2A37">
            <w:pPr>
              <w:spacing w:after="0" w:line="259" w:lineRule="auto"/>
              <w:ind w:left="108" w:right="0" w:firstLine="0"/>
              <w:jc w:val="left"/>
            </w:pPr>
            <w:r w:rsidRPr="008E2A37">
              <w:t>Assenza del fischietto</w:t>
            </w:r>
            <w:r>
              <w:t xml:space="preserve"> </w:t>
            </w:r>
            <w:r w:rsidRPr="008E2A37">
              <w:t>(CR 4.2a)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Default="00FD38A8">
            <w:pPr>
              <w:spacing w:after="0" w:line="259" w:lineRule="auto"/>
              <w:ind w:left="108" w:right="0" w:firstLine="0"/>
              <w:jc w:val="left"/>
            </w:pPr>
            <w:r>
              <w:t xml:space="preserve">Assenza del </w:t>
            </w:r>
            <w:r w:rsidRPr="00FD38A8">
              <w:t xml:space="preserve">cordino, </w:t>
            </w:r>
            <w:r>
              <w:t>sistema di fissaggio</w:t>
            </w:r>
            <w:r w:rsidRPr="00FD38A8">
              <w:t xml:space="preserve"> o altr</w:t>
            </w:r>
            <w:r>
              <w:t>o</w:t>
            </w:r>
            <w:r w:rsidRPr="00FD38A8">
              <w:t xml:space="preserve"> disposi</w:t>
            </w:r>
            <w:r>
              <w:t>tivo</w:t>
            </w:r>
            <w:r w:rsidRPr="00FD38A8">
              <w:t xml:space="preserve"> utilizzat</w:t>
            </w:r>
            <w:r>
              <w:t>o</w:t>
            </w:r>
            <w:r w:rsidRPr="00FD38A8">
              <w:t xml:space="preserve"> per fissare l'albero allo scafo (CR 3.5.2.11)</w:t>
            </w:r>
            <w:r w:rsidR="006A564D" w:rsidRPr="00FD38A8"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A8" w:rsidRPr="00FD38A8" w:rsidRDefault="00FD38A8">
            <w:pPr>
              <w:spacing w:after="0" w:line="259" w:lineRule="auto"/>
              <w:ind w:left="108" w:right="0" w:firstLine="0"/>
              <w:jc w:val="left"/>
            </w:pPr>
            <w:r w:rsidRPr="00FD38A8">
              <w:t xml:space="preserve">Vela </w:t>
            </w:r>
            <w:r w:rsidR="00424E4E">
              <w:t>0ltre i</w:t>
            </w:r>
            <w:r w:rsidRPr="00FD38A8">
              <w:t xml:space="preserve"> limiti delle</w:t>
            </w:r>
            <w:r>
              <w:t xml:space="preserve"> bande</w:t>
            </w:r>
            <w:r w:rsidRPr="00FD38A8">
              <w:t xml:space="preserve"> </w:t>
            </w:r>
            <w:r w:rsidR="00424E4E">
              <w:t xml:space="preserve">di </w:t>
            </w:r>
            <w:proofErr w:type="gramStart"/>
            <w:r w:rsidR="00424E4E">
              <w:t>stazza</w:t>
            </w:r>
            <w:r w:rsidRPr="00FD38A8">
              <w:t>(</w:t>
            </w:r>
            <w:proofErr w:type="gramEnd"/>
            <w:r w:rsidRPr="00FD38A8">
              <w:t>CR  3.5.2.7)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A8" w:rsidRPr="00FD38A8" w:rsidRDefault="00FD38A8">
            <w:pPr>
              <w:spacing w:after="0" w:line="259" w:lineRule="auto"/>
              <w:ind w:left="108" w:right="0" w:firstLine="0"/>
              <w:jc w:val="left"/>
            </w:pPr>
            <w:r>
              <w:t xml:space="preserve">Due </w:t>
            </w:r>
            <w:proofErr w:type="spellStart"/>
            <w:r>
              <w:t>stroppetti</w:t>
            </w:r>
            <w:proofErr w:type="spellEnd"/>
            <w:r>
              <w:t xml:space="preserve"> 5 mm o più oltre il consentito </w:t>
            </w:r>
            <w:r w:rsidRPr="00FD38A8">
              <w:t>(CR    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A8" w:rsidRPr="00FD38A8" w:rsidRDefault="00FD38A8" w:rsidP="00FD38A8">
            <w:pPr>
              <w:spacing w:after="0" w:line="259" w:lineRule="auto"/>
              <w:ind w:right="0"/>
              <w:jc w:val="left"/>
            </w:pPr>
            <w:r w:rsidRPr="00FD38A8">
              <w:t xml:space="preserve"> Tre o più </w:t>
            </w:r>
            <w:proofErr w:type="spellStart"/>
            <w:r w:rsidRPr="00FD38A8">
              <w:t>stroppetti</w:t>
            </w:r>
            <w:proofErr w:type="spellEnd"/>
            <w:r w:rsidRPr="00FD38A8">
              <w:t xml:space="preserve"> 3 mm or più oltre il co</w:t>
            </w:r>
            <w:r>
              <w:t>nsentito</w:t>
            </w:r>
            <w:r w:rsidRPr="00FD38A8">
              <w:t xml:space="preserve"> (CR 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A8" w:rsidRPr="00FD38A8" w:rsidRDefault="00FD38A8">
            <w:pPr>
              <w:spacing w:after="0" w:line="259" w:lineRule="auto"/>
              <w:ind w:left="108" w:right="0" w:firstLine="0"/>
              <w:jc w:val="left"/>
            </w:pPr>
            <w:r w:rsidRPr="00FD38A8">
              <w:t>La posizione della cinghia sul b</w:t>
            </w:r>
            <w:r>
              <w:t>oma</w:t>
            </w:r>
            <w:r w:rsidRPr="00FD38A8">
              <w:t xml:space="preserve"> è superiore a 115 mm (CR 3.5.3.8)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A8" w:rsidRPr="00FD38A8" w:rsidRDefault="00FD38A8">
            <w:pPr>
              <w:spacing w:after="0" w:line="259" w:lineRule="auto"/>
              <w:ind w:left="108" w:right="0" w:firstLine="0"/>
              <w:jc w:val="left"/>
            </w:pPr>
            <w:r w:rsidRPr="00FD38A8">
              <w:t xml:space="preserve">Occhiello </w:t>
            </w:r>
            <w:r>
              <w:t>di</w:t>
            </w:r>
            <w:r w:rsidRPr="00FD38A8">
              <w:t xml:space="preserve"> gola, </w:t>
            </w:r>
            <w:proofErr w:type="spellStart"/>
            <w:r w:rsidR="00137163">
              <w:t>tack</w:t>
            </w:r>
            <w:proofErr w:type="spellEnd"/>
            <w:r w:rsidRPr="00FD38A8">
              <w:t xml:space="preserve"> o </w:t>
            </w:r>
            <w:proofErr w:type="spellStart"/>
            <w:r w:rsidR="00137163">
              <w:t>clue</w:t>
            </w:r>
            <w:proofErr w:type="spellEnd"/>
            <w:r w:rsidRPr="00FD38A8">
              <w:t xml:space="preserve"> di 3 mm o più </w:t>
            </w:r>
            <w:r>
              <w:t>oltre il consentito</w:t>
            </w:r>
            <w:r w:rsidRPr="00FD38A8">
              <w:t xml:space="preserve"> (CR 6.6.3.4)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8A8" w:rsidRPr="00FD38A8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A8" w:rsidRPr="00FD38A8" w:rsidRDefault="00FD38A8">
            <w:pPr>
              <w:spacing w:after="0" w:line="259" w:lineRule="auto"/>
              <w:ind w:left="108" w:right="0" w:firstLine="0"/>
              <w:jc w:val="left"/>
            </w:pPr>
            <w:r w:rsidRPr="00FD38A8">
              <w:t>Ripetizione della violazione di penalità minore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8A8" w:rsidRPr="00FD38A8" w:rsidRDefault="00FD38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Pr="00385A19" w:rsidRDefault="00385A19" w:rsidP="00424E4E">
            <w:pPr>
              <w:spacing w:after="0" w:line="259" w:lineRule="auto"/>
              <w:ind w:right="0"/>
              <w:jc w:val="center"/>
              <w:rPr>
                <w:b/>
                <w:bCs/>
                <w:highlight w:val="yellow"/>
              </w:rPr>
            </w:pPr>
            <w:r w:rsidRPr="00385A19">
              <w:rPr>
                <w:b/>
                <w:bCs/>
              </w:rPr>
              <w:t>PENALITA’ PER INFRAZIONI MAGGIORI DELLE REGOLE DI CLASSE</w:t>
            </w:r>
            <w:r>
              <w:rPr>
                <w:b/>
                <w:bCs/>
              </w:rPr>
              <w:t xml:space="preserve"> - Penalità DSQ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63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Pr="00137163" w:rsidRDefault="00385A19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385A19">
              <w:t>Tutte le infrazioni delle RRS con eccezione di quelle qui citate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564D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4D" w:rsidRPr="00137163" w:rsidRDefault="00385A19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385A19">
              <w:t xml:space="preserve">Tutte le infrazioni delle </w:t>
            </w:r>
            <w:proofErr w:type="spellStart"/>
            <w:r w:rsidRPr="00385A19">
              <w:t>IdR</w:t>
            </w:r>
            <w:proofErr w:type="spellEnd"/>
            <w:r w:rsidRPr="00385A19">
              <w:t xml:space="preserve"> con eccezione di quelle qui citate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64D" w:rsidRDefault="006A56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A19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19" w:rsidRPr="00385A19" w:rsidRDefault="00385A19">
            <w:pPr>
              <w:spacing w:after="0" w:line="259" w:lineRule="auto"/>
              <w:ind w:left="108" w:right="0" w:firstLine="0"/>
              <w:jc w:val="left"/>
            </w:pPr>
            <w:r>
              <w:t>Uso di attrezzatura non controllata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A19" w:rsidRDefault="00385A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A19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19" w:rsidRPr="00385A19" w:rsidRDefault="00385A19">
            <w:pPr>
              <w:spacing w:after="0" w:line="259" w:lineRule="auto"/>
              <w:ind w:left="108" w:right="0" w:firstLine="0"/>
              <w:jc w:val="left"/>
            </w:pPr>
            <w:r w:rsidRPr="00385A19">
              <w:t xml:space="preserve">Uso di </w:t>
            </w:r>
            <w:r w:rsidR="00424E4E">
              <w:t>accessori</w:t>
            </w:r>
            <w:r w:rsidRPr="00385A19">
              <w:t xml:space="preserve"> non approvati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A19" w:rsidRDefault="00385A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A19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19" w:rsidRPr="00385A19" w:rsidRDefault="00424E4E">
            <w:pPr>
              <w:spacing w:after="0" w:line="259" w:lineRule="auto"/>
              <w:ind w:left="108" w:right="0" w:firstLine="0"/>
              <w:jc w:val="left"/>
            </w:pPr>
            <w:r w:rsidRPr="00424E4E">
              <w:t xml:space="preserve">Ripetizione della violazione </w:t>
            </w:r>
            <w:r>
              <w:t>di infrazioni intermedie delle regole di classe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A19" w:rsidRDefault="00385A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63" w:rsidRPr="00137163" w:rsidRDefault="00137163">
            <w:pPr>
              <w:spacing w:after="0" w:line="259" w:lineRule="auto"/>
              <w:ind w:left="2336" w:right="0" w:firstLine="0"/>
              <w:jc w:val="left"/>
              <w:rPr>
                <w:highlight w:val="yellow"/>
              </w:rPr>
            </w:pP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63" w:rsidRPr="00137163" w:rsidRDefault="00424E4E" w:rsidP="00424E4E">
            <w:pPr>
              <w:spacing w:after="0" w:line="259" w:lineRule="auto"/>
              <w:ind w:left="0" w:right="0" w:firstLine="0"/>
              <w:jc w:val="center"/>
              <w:rPr>
                <w:highlight w:val="yellow"/>
              </w:rPr>
            </w:pPr>
            <w:r w:rsidRPr="00424E4E">
              <w:rPr>
                <w:b/>
                <w:bCs/>
              </w:rPr>
              <w:t>B. TEAM RACING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63" w:rsidRPr="00137163" w:rsidRDefault="00424E4E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424E4E">
              <w:t>Minor</w:t>
            </w:r>
            <w:r w:rsidR="00463A7E">
              <w:t>i</w:t>
            </w:r>
            <w:r w:rsidRPr="00424E4E">
              <w:t xml:space="preserve"> penalità tecnic</w:t>
            </w:r>
            <w:r w:rsidR="00463A7E">
              <w:t>he</w:t>
            </w:r>
            <w:r w:rsidRPr="00424E4E">
              <w:t xml:space="preserve"> - 0 punti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:rsidTr="00E63119">
        <w:trPr>
          <w:trHeight w:val="279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63" w:rsidRPr="00137163" w:rsidRDefault="00463A7E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463A7E">
              <w:t xml:space="preserve">Minor </w:t>
            </w:r>
            <w:r>
              <w:t>infrazioni delle regole di</w:t>
            </w:r>
            <w:r w:rsidRPr="00463A7E">
              <w:t xml:space="preserve"> classe - 1 punto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63" w:rsidRPr="00137163" w:rsidRDefault="00463A7E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463A7E">
              <w:t xml:space="preserve">Penalità </w:t>
            </w:r>
            <w:r>
              <w:t xml:space="preserve">intermedie delle </w:t>
            </w:r>
            <w:r w:rsidRPr="00463A7E">
              <w:t>regol</w:t>
            </w:r>
            <w:r>
              <w:t>e</w:t>
            </w:r>
            <w:r w:rsidRPr="00463A7E">
              <w:t xml:space="preserve"> di classe - 3 punti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7163" w:rsidTr="00E63119">
        <w:trPr>
          <w:trHeight w:val="278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63" w:rsidRPr="00137163" w:rsidRDefault="00463A7E">
            <w:pPr>
              <w:spacing w:after="0" w:line="259" w:lineRule="auto"/>
              <w:ind w:left="108" w:right="0" w:firstLine="0"/>
              <w:jc w:val="left"/>
              <w:rPr>
                <w:highlight w:val="yellow"/>
              </w:rPr>
            </w:pPr>
            <w:r w:rsidRPr="00463A7E">
              <w:t xml:space="preserve">Penalità </w:t>
            </w:r>
            <w:r>
              <w:t xml:space="preserve">maggiori delle </w:t>
            </w:r>
            <w:r w:rsidRPr="00463A7E">
              <w:t>regole d</w:t>
            </w:r>
            <w:r>
              <w:t>i</w:t>
            </w:r>
            <w:r w:rsidRPr="00463A7E">
              <w:t xml:space="preserve"> classe - 6 punti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63" w:rsidRDefault="0013716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03845" w:rsidRDefault="0092307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703845">
      <w:pgSz w:w="11906" w:h="16838"/>
      <w:pgMar w:top="730" w:right="717" w:bottom="8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8490D"/>
    <w:multiLevelType w:val="hybridMultilevel"/>
    <w:tmpl w:val="8E2251E0"/>
    <w:lvl w:ilvl="0" w:tplc="77C2AE7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8AF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1C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E07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E96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8A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E4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21F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47D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45"/>
    <w:rsid w:val="00137163"/>
    <w:rsid w:val="001E602D"/>
    <w:rsid w:val="00385A19"/>
    <w:rsid w:val="00424E4E"/>
    <w:rsid w:val="00463A7E"/>
    <w:rsid w:val="006476F7"/>
    <w:rsid w:val="00667273"/>
    <w:rsid w:val="006A564D"/>
    <w:rsid w:val="00703845"/>
    <w:rsid w:val="008E2A37"/>
    <w:rsid w:val="00923074"/>
    <w:rsid w:val="00A4598B"/>
    <w:rsid w:val="00B22102"/>
    <w:rsid w:val="00CC0D9D"/>
    <w:rsid w:val="00E63119"/>
    <w:rsid w:val="00F06581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E9E3"/>
  <w15:docId w15:val="{81E350CC-E6FF-4D34-BC82-202CE75C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cp:lastModifiedBy>Riccardo Antoni</cp:lastModifiedBy>
  <cp:revision>3</cp:revision>
  <dcterms:created xsi:type="dcterms:W3CDTF">2019-08-17T12:28:00Z</dcterms:created>
  <dcterms:modified xsi:type="dcterms:W3CDTF">2019-08-19T13:11:00Z</dcterms:modified>
</cp:coreProperties>
</file>